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C47B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789519C" w:rsidR="00F92268" w:rsidRPr="003C76EF" w:rsidRDefault="00233867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233867">
              <w:rPr>
                <w:rFonts w:cs="Arial"/>
                <w:sz w:val="16"/>
                <w:szCs w:val="16"/>
              </w:rPr>
              <w:t>5149-A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1D52A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2EC1119" w:rsidR="004B15BB" w:rsidRPr="00BD1CC1" w:rsidRDefault="00196D3B" w:rsidP="007E5C16">
      <w:pPr>
        <w:pStyle w:val="Heading1"/>
      </w:pPr>
      <w:proofErr w:type="spellStart"/>
      <w:r w:rsidRPr="00196D3B">
        <w:t>S</w:t>
      </w:r>
      <w:r>
        <w:t>peciality</w:t>
      </w:r>
      <w:proofErr w:type="spellEnd"/>
      <w:r w:rsidRPr="00196D3B">
        <w:t xml:space="preserve"> G</w:t>
      </w:r>
      <w:r>
        <w:t>uideline</w:t>
      </w:r>
      <w:r w:rsidRPr="00196D3B">
        <w:t xml:space="preserve"> M</w:t>
      </w:r>
      <w:r>
        <w:t>anagement</w:t>
      </w:r>
      <w:r w:rsidR="0064271C">
        <w:br/>
      </w:r>
      <w:proofErr w:type="spellStart"/>
      <w:r w:rsidR="0064271C" w:rsidRPr="00196D3B">
        <w:t>K</w:t>
      </w:r>
      <w:r w:rsidR="0064271C">
        <w:t>immtrak</w:t>
      </w:r>
      <w:proofErr w:type="spellEnd"/>
    </w:p>
    <w:p w14:paraId="78861C92" w14:textId="2E79B7E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17089CA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795D20">
        <w:t>Over</w:t>
      </w:r>
      <w:r w:rsidR="00581580">
        <w:t>-</w:t>
      </w:r>
      <w:r w:rsidR="00795D20">
        <w:t>the</w:t>
      </w:r>
      <w:r w:rsidR="00581580">
        <w:t>-</w:t>
      </w:r>
      <w:r w:rsidR="00795D20">
        <w:t>counter (</w:t>
      </w:r>
      <w:r w:rsidRPr="00BD1CC1">
        <w:t>OTC</w:t>
      </w:r>
      <w:r w:rsidR="00795D20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9C667E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9C667E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9C667E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9C667E">
        <w:trPr>
          <w:cantSplit/>
        </w:trPr>
        <w:tc>
          <w:tcPr>
            <w:tcW w:w="5265" w:type="dxa"/>
          </w:tcPr>
          <w:p w14:paraId="2D8FA8E3" w14:textId="5966544A" w:rsidR="00585FFF" w:rsidRPr="00BD1CC1" w:rsidRDefault="00196D3B" w:rsidP="009C667E">
            <w:pPr>
              <w:pStyle w:val="TableData"/>
              <w:spacing w:after="0"/>
            </w:pPr>
            <w:proofErr w:type="spellStart"/>
            <w:r w:rsidRPr="00196D3B">
              <w:t>K</w:t>
            </w:r>
            <w:r>
              <w:t>immtrak</w:t>
            </w:r>
            <w:proofErr w:type="spellEnd"/>
          </w:p>
        </w:tc>
        <w:tc>
          <w:tcPr>
            <w:tcW w:w="5595" w:type="dxa"/>
          </w:tcPr>
          <w:p w14:paraId="7E26A004" w14:textId="0707CF42" w:rsidR="00585FFF" w:rsidRPr="00BD1CC1" w:rsidRDefault="00196D3B" w:rsidP="009C667E">
            <w:pPr>
              <w:pStyle w:val="TableData"/>
              <w:spacing w:after="0"/>
            </w:pPr>
            <w:proofErr w:type="spellStart"/>
            <w:r w:rsidRPr="00196D3B">
              <w:t>tebentafusp-tebn</w:t>
            </w:r>
            <w:proofErr w:type="spellEnd"/>
          </w:p>
        </w:tc>
      </w:tr>
    </w:tbl>
    <w:bookmarkEnd w:id="0"/>
    <w:p w14:paraId="14CE6108" w14:textId="2C4438D1" w:rsidR="00FC1AAD" w:rsidRDefault="00ED052F" w:rsidP="00ED052F">
      <w:pPr>
        <w:pStyle w:val="Heading2"/>
      </w:pPr>
      <w:r>
        <w:t>Indications</w:t>
      </w:r>
    </w:p>
    <w:p w14:paraId="15E84803" w14:textId="24942E9C" w:rsidR="00196D3B" w:rsidRPr="00196D3B" w:rsidRDefault="00196D3B" w:rsidP="00196D3B">
      <w:pPr>
        <w:pStyle w:val="BodyText"/>
      </w:pPr>
      <w:r w:rsidRPr="00196D3B">
        <w:t>The indications below including FDA-approved indications and compendial uses are considered a covered benefit provided that all the approval criteria are met and the member has no exclusions to the prescribed therapy</w:t>
      </w:r>
      <w:r w:rsidR="006209C3">
        <w:t>.</w:t>
      </w:r>
    </w:p>
    <w:p w14:paraId="134B5687" w14:textId="7562C905" w:rsidR="00ED052F" w:rsidRPr="00BD1CC1" w:rsidRDefault="00ED052F" w:rsidP="00ED052F">
      <w:pPr>
        <w:pStyle w:val="Heading3"/>
        <w:keepNext w:val="0"/>
      </w:pPr>
      <w:r w:rsidRPr="00BD1CC1">
        <w:t>FDA-approved Indication</w:t>
      </w:r>
      <w:r w:rsidR="00581580" w:rsidRPr="00F823E9">
        <w:rPr>
          <w:vertAlign w:val="superscript"/>
        </w:rPr>
        <w:t>1</w:t>
      </w:r>
    </w:p>
    <w:p w14:paraId="4C434745" w14:textId="73ED6CE3" w:rsidR="00ED052F" w:rsidRDefault="00196D3B" w:rsidP="00ED052F">
      <w:pPr>
        <w:pStyle w:val="BodyText"/>
      </w:pPr>
      <w:proofErr w:type="spellStart"/>
      <w:r w:rsidRPr="00196D3B">
        <w:t>Kimmtrak</w:t>
      </w:r>
      <w:proofErr w:type="spellEnd"/>
      <w:r w:rsidRPr="00196D3B">
        <w:t xml:space="preserve"> is indicated for the treatment of HLA-A</w:t>
      </w:r>
      <w:r w:rsidR="007129B0">
        <w:t xml:space="preserve"> </w:t>
      </w:r>
      <w:r w:rsidRPr="00196D3B">
        <w:t>02:01-positive adult patients with unresectable or metastatic uveal melanoma</w:t>
      </w:r>
      <w:r w:rsidR="00ED052F" w:rsidRPr="00BD1CC1">
        <w:t>.</w:t>
      </w:r>
    </w:p>
    <w:p w14:paraId="3058A5F8" w14:textId="2C840E5E" w:rsidR="005C778C" w:rsidRPr="00255903" w:rsidRDefault="00196D3B" w:rsidP="00233867">
      <w:pPr>
        <w:pStyle w:val="BodyText"/>
      </w:pPr>
      <w:r w:rsidRPr="00196D3B">
        <w:t>All other indications are considered experimental/investigational and not medically necessary.</w:t>
      </w:r>
    </w:p>
    <w:p w14:paraId="36381B6D" w14:textId="259DD0D7" w:rsidR="000D2496" w:rsidRPr="00BD1CC1" w:rsidRDefault="000D2496" w:rsidP="000D2496">
      <w:pPr>
        <w:pStyle w:val="Heading2"/>
      </w:pPr>
      <w:r w:rsidRPr="00BD1CC1">
        <w:t>Documentation</w:t>
      </w:r>
    </w:p>
    <w:p w14:paraId="62A52FB2" w14:textId="251C9CCB" w:rsidR="00196D3B" w:rsidRDefault="00196D3B" w:rsidP="00196D3B">
      <w:pPr>
        <w:pStyle w:val="BodyText"/>
      </w:pPr>
      <w:r>
        <w:t>Submission of the following information is necessary to initiate the prior authorization review:</w:t>
      </w:r>
    </w:p>
    <w:p w14:paraId="2293D250" w14:textId="77777777" w:rsidR="0064271C" w:rsidRDefault="00196D3B" w:rsidP="00196D3B">
      <w:pPr>
        <w:pStyle w:val="BodyText"/>
      </w:pPr>
      <w:r>
        <w:t>medical record documentation of HLA-A*02:01 phenotype.</w:t>
      </w:r>
    </w:p>
    <w:p w14:paraId="7DDAC4FC" w14:textId="47530805" w:rsidR="00016A2E" w:rsidRPr="0064271C" w:rsidRDefault="0064271C">
      <w:pPr>
        <w:pStyle w:val="Heading2"/>
      </w:pPr>
      <w:r w:rsidRPr="0064271C">
        <w:lastRenderedPageBreak/>
        <w:t xml:space="preserve">Coverage </w:t>
      </w:r>
      <w:r w:rsidR="00196D3B" w:rsidRPr="0064271C">
        <w:t>Criteria</w:t>
      </w:r>
    </w:p>
    <w:p w14:paraId="0F58EB90" w14:textId="553C4A28" w:rsidR="00233867" w:rsidRPr="00233867" w:rsidRDefault="00233867" w:rsidP="0064271C">
      <w:pPr>
        <w:pStyle w:val="Heading3"/>
      </w:pPr>
      <w:r w:rsidRPr="00233867">
        <w:t>Uveal Melanoma</w:t>
      </w:r>
      <w:r w:rsidRPr="0064271C">
        <w:rPr>
          <w:vertAlign w:val="superscript"/>
        </w:rPr>
        <w:t>1</w:t>
      </w:r>
    </w:p>
    <w:p w14:paraId="6151B04D" w14:textId="77777777" w:rsidR="00233867" w:rsidRPr="00233867" w:rsidRDefault="00233867" w:rsidP="00233867">
      <w:pPr>
        <w:pStyle w:val="BodyText"/>
        <w:rPr>
          <w:rFonts w:eastAsia="Arial"/>
        </w:rPr>
      </w:pPr>
      <w:r w:rsidRPr="00233867">
        <w:rPr>
          <w:rFonts w:eastAsia="Arial"/>
        </w:rPr>
        <w:t>Authorization of 12 months may be granted for treatment of uveal melanoma when all of the following criteria are met:</w:t>
      </w:r>
    </w:p>
    <w:p w14:paraId="15E574A2" w14:textId="436CE0A2" w:rsidR="00233867" w:rsidRPr="006209C3" w:rsidRDefault="00233867" w:rsidP="006209C3">
      <w:pPr>
        <w:pStyle w:val="ListParagraph"/>
        <w:numPr>
          <w:ilvl w:val="0"/>
          <w:numId w:val="27"/>
        </w:numPr>
        <w:contextualSpacing w:val="0"/>
        <w:rPr>
          <w:rFonts w:eastAsia="Arial"/>
        </w:rPr>
      </w:pPr>
      <w:r w:rsidRPr="006209C3">
        <w:rPr>
          <w:rFonts w:eastAsia="Arial"/>
        </w:rPr>
        <w:t>The member is HLA-A*02:01-positive</w:t>
      </w:r>
    </w:p>
    <w:p w14:paraId="1257F25A" w14:textId="13A5C0BF" w:rsidR="00E7561A" w:rsidRPr="006209C3" w:rsidRDefault="00233867" w:rsidP="006209C3">
      <w:pPr>
        <w:pStyle w:val="ListParagraph"/>
        <w:numPr>
          <w:ilvl w:val="0"/>
          <w:numId w:val="27"/>
        </w:numPr>
        <w:contextualSpacing w:val="0"/>
        <w:rPr>
          <w:rFonts w:eastAsia="Arial"/>
        </w:rPr>
      </w:pPr>
      <w:r w:rsidRPr="006209C3">
        <w:rPr>
          <w:rFonts w:eastAsia="Arial"/>
        </w:rPr>
        <w:t>The disease is unresectable or metastatic</w:t>
      </w:r>
    </w:p>
    <w:p w14:paraId="3A643EC3" w14:textId="071FB78F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43D57592" w:rsidR="00A501AC" w:rsidRPr="003D46B0" w:rsidRDefault="00233867" w:rsidP="003D46B0">
      <w:pPr>
        <w:pStyle w:val="BodyText"/>
      </w:pPr>
      <w:r w:rsidRPr="00233867">
        <w:t xml:space="preserve">Authorization of 12 months may be granted for continued treatment in members requesting reauthorization for an indication listed in </w:t>
      </w:r>
      <w:r w:rsidR="00D46F8B" w:rsidRPr="00D46F8B">
        <w:t>the coverage criteria section</w:t>
      </w:r>
      <w:r w:rsidRPr="00233867">
        <w:t xml:space="preserve"> when there is no evidence of unacceptable toxicity or disease progression while on the current regimen</w:t>
      </w:r>
      <w:r w:rsidR="00743999">
        <w:t>.</w:t>
      </w:r>
    </w:p>
    <w:p w14:paraId="0A275F8B" w14:textId="325F248E" w:rsidR="000E0438" w:rsidRPr="008D1B34" w:rsidRDefault="000E0438" w:rsidP="000E0438">
      <w:pPr>
        <w:pStyle w:val="Heading2"/>
      </w:pPr>
      <w:r w:rsidRPr="008D1B34">
        <w:t>References</w:t>
      </w:r>
    </w:p>
    <w:p w14:paraId="02F76705" w14:textId="2CE4ED51" w:rsidR="00233867" w:rsidRPr="00233867" w:rsidRDefault="00233867" w:rsidP="00233867">
      <w:pPr>
        <w:pStyle w:val="ReferenceOrdered"/>
      </w:pPr>
      <w:proofErr w:type="spellStart"/>
      <w:r w:rsidRPr="00233867">
        <w:t>Kimmtrak</w:t>
      </w:r>
      <w:proofErr w:type="spellEnd"/>
      <w:r w:rsidRPr="00233867">
        <w:t xml:space="preserve"> [package insert]. Conshohocken, PA: </w:t>
      </w:r>
      <w:proofErr w:type="spellStart"/>
      <w:r w:rsidRPr="00233867">
        <w:t>Immunocore</w:t>
      </w:r>
      <w:proofErr w:type="spellEnd"/>
      <w:r w:rsidRPr="00233867">
        <w:t xml:space="preserve"> Commercial LLC; November 2022.</w:t>
      </w:r>
    </w:p>
    <w:sectPr w:rsidR="00233867" w:rsidRPr="00233867" w:rsidSect="009C667E">
      <w:headerReference w:type="first" r:id="rId15"/>
      <w:footerReference w:type="first" r:id="rId16"/>
      <w:type w:val="continuous"/>
      <w:pgSz w:w="12240" w:h="15840" w:code="1"/>
      <w:pgMar w:top="900" w:right="720" w:bottom="990" w:left="720" w:header="36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B6BB" w14:textId="77777777" w:rsidR="00EB5351" w:rsidRDefault="00EB5351">
      <w:r>
        <w:separator/>
      </w:r>
    </w:p>
  </w:endnote>
  <w:endnote w:type="continuationSeparator" w:id="0">
    <w:p w14:paraId="50A91D1B" w14:textId="77777777" w:rsidR="00EB5351" w:rsidRDefault="00EB5351">
      <w:r>
        <w:continuationSeparator/>
      </w:r>
    </w:p>
  </w:endnote>
  <w:endnote w:type="continuationNotice" w:id="1">
    <w:p w14:paraId="45BC795D" w14:textId="77777777" w:rsidR="00EB5351" w:rsidRDefault="00EB53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97A2" w14:textId="10F82944" w:rsidR="00795D20" w:rsidRPr="00EC47B6" w:rsidRDefault="00795D20" w:rsidP="00795D20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B5B03" w:rsidRPr="005B5B03">
      <w:rPr>
        <w:rFonts w:cs="Arial"/>
        <w:noProof/>
        <w:sz w:val="16"/>
        <w:szCs w:val="16"/>
      </w:rPr>
      <w:t>Kimmtrak</w:t>
    </w:r>
    <w:r w:rsidR="005B5B03">
      <w:rPr>
        <w:rFonts w:cs="Arial"/>
        <w:noProof/>
        <w:snapToGrid w:val="0"/>
        <w:color w:val="000000"/>
        <w:sz w:val="16"/>
        <w:szCs w:val="16"/>
      </w:rPr>
      <w:t xml:space="preserve"> SGM 5149-A</w:t>
    </w:r>
    <w:r w:rsidR="005B5B03" w:rsidRPr="005B5B03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8158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44622CD8" w14:textId="77777777" w:rsidR="00795D20" w:rsidRPr="00EC47B6" w:rsidRDefault="00795D20" w:rsidP="00795D20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0D9F87AA" w:rsidR="00F75C81" w:rsidRPr="00AA1E6A" w:rsidRDefault="00795D20" w:rsidP="00573C0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C6AACB1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B5B03" w:rsidRPr="005B5B03">
      <w:rPr>
        <w:rFonts w:cs="Arial"/>
        <w:noProof/>
        <w:sz w:val="16"/>
        <w:szCs w:val="16"/>
      </w:rPr>
      <w:t>Kimmtrak</w:t>
    </w:r>
    <w:r w:rsidR="005B5B03">
      <w:rPr>
        <w:rFonts w:cs="Arial"/>
        <w:noProof/>
        <w:snapToGrid w:val="0"/>
        <w:color w:val="000000"/>
        <w:sz w:val="16"/>
        <w:szCs w:val="16"/>
      </w:rPr>
      <w:t xml:space="preserve"> SGM 5149-A</w:t>
    </w:r>
    <w:r w:rsidR="005B5B03" w:rsidRPr="005B5B03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581580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363AB4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F1BB7D8" w:rsidR="00ED04EC" w:rsidRPr="00F50D98" w:rsidRDefault="00F50D98" w:rsidP="00573C0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2E18" w14:textId="77777777" w:rsidR="00EB5351" w:rsidRDefault="00EB5351">
      <w:r>
        <w:separator/>
      </w:r>
    </w:p>
  </w:footnote>
  <w:footnote w:type="continuationSeparator" w:id="0">
    <w:p w14:paraId="0F5F9F1B" w14:textId="77777777" w:rsidR="00EB5351" w:rsidRDefault="00EB5351">
      <w:r>
        <w:continuationSeparator/>
      </w:r>
    </w:p>
  </w:footnote>
  <w:footnote w:type="continuationNotice" w:id="1">
    <w:p w14:paraId="386B3747" w14:textId="77777777" w:rsidR="00EB5351" w:rsidRDefault="00EB53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CB3D75C" w:rsidR="00ED04EC" w:rsidRPr="0086150A" w:rsidRDefault="00795D20" w:rsidP="00ED04EC">
          <w:pPr>
            <w:pStyle w:val="Header"/>
            <w:rPr>
              <w:rFonts w:ascii="Arial" w:hAnsi="Arial" w:cs="Arial"/>
              <w:color w:val="000000" w:themeColor="text1"/>
              <w:sz w:val="16"/>
              <w:szCs w:val="16"/>
            </w:rPr>
          </w:pPr>
          <w:r>
            <w:rPr>
              <w:rFonts w:ascii="Arial" w:hAnsi="Arial" w:cs="Arial"/>
              <w:color w:val="000000" w:themeColor="text1"/>
              <w:sz w:val="16"/>
              <w:szCs w:val="16"/>
            </w:rPr>
            <w:t>5149-A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200C15D" w:rsidR="000F5383" w:rsidRPr="00121DAD" w:rsidRDefault="0064271C" w:rsidP="000F5383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5149-A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0013F4"/>
    <w:multiLevelType w:val="hybridMultilevel"/>
    <w:tmpl w:val="5B322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A6F13"/>
    <w:multiLevelType w:val="hybridMultilevel"/>
    <w:tmpl w:val="D7EAD39C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6"/>
  </w:num>
  <w:num w:numId="26" w16cid:durableId="1814328741">
    <w:abstractNumId w:val="11"/>
  </w:num>
  <w:num w:numId="27" w16cid:durableId="678853898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4D3C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1EC9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8A0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121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6D3B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2A6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67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5251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63A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36EA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3C09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580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B5B03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09C3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1C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9B0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3999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5D20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50A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00B3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6B10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4428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67E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518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2E45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4EF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6F8B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9FA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A7D4C"/>
    <w:rsid w:val="00EB0299"/>
    <w:rsid w:val="00EB199D"/>
    <w:rsid w:val="00EB3987"/>
    <w:rsid w:val="00EB3B44"/>
    <w:rsid w:val="00EB46B3"/>
    <w:rsid w:val="00EB4736"/>
    <w:rsid w:val="00EB5351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B038E1-D254-4ADF-A8E6-12E66315AB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Kimmtrak 5149-A SGM 2024</vt:lpstr>
    </vt:vector>
  </TitlesOfParts>
  <Company>PCS Health Systems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Kimmtrak SGM 5149-A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2025-05-08T21:44:00Z</dcterms:created>
  <dcterms:modified xsi:type="dcterms:W3CDTF">2025-05-08T21:44:00Z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938300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